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_GBK" w:hAnsi="方正小标宋简体" w:eastAsia="方正小标宋_GBK" w:cs="方正小标宋简体"/>
          <w:bCs/>
          <w:color w:val="auto"/>
          <w:sz w:val="44"/>
          <w:szCs w:val="44"/>
        </w:rPr>
      </w:pPr>
      <w:r>
        <w:rPr>
          <w:rFonts w:hint="eastAsia" w:ascii="方正小标宋_GBK" w:hAnsi="方正小标宋简体" w:eastAsia="方正小标宋_GBK" w:cs="方正小标宋简体"/>
          <w:bCs/>
          <w:color w:val="auto"/>
          <w:sz w:val="44"/>
          <w:szCs w:val="44"/>
        </w:rPr>
        <w:t>西藏自治区统计局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_GBK" w:hAnsi="方正小标宋简体" w:eastAsia="方正小标宋_GBK" w:cs="方正小标宋简体"/>
          <w:bCs/>
          <w:color w:val="auto"/>
          <w:sz w:val="44"/>
          <w:szCs w:val="44"/>
        </w:rPr>
      </w:pPr>
      <w:r>
        <w:rPr>
          <w:rFonts w:hint="eastAsia" w:ascii="方正小标宋_GBK" w:hAnsi="方正小标宋简体" w:eastAsia="方正小标宋_GBK" w:cs="方正小标宋简体"/>
          <w:bCs/>
          <w:color w:val="auto"/>
          <w:sz w:val="44"/>
          <w:szCs w:val="44"/>
        </w:rPr>
        <w:t>202</w:t>
      </w:r>
      <w:r>
        <w:rPr>
          <w:rFonts w:hint="eastAsia" w:ascii="方正小标宋_GBK" w:hAnsi="方正小标宋简体" w:eastAsia="方正小标宋_GBK" w:cs="方正小标宋简体"/>
          <w:bCs/>
          <w:color w:val="auto"/>
          <w:sz w:val="44"/>
          <w:szCs w:val="44"/>
          <w:lang w:val="en-US" w:eastAsia="zh-CN"/>
        </w:rPr>
        <w:t>5</w:t>
      </w:r>
      <w:r>
        <w:rPr>
          <w:rFonts w:hint="eastAsia" w:ascii="方正小标宋_GBK" w:hAnsi="方正小标宋简体" w:eastAsia="方正小标宋_GBK" w:cs="方正小标宋简体"/>
          <w:bCs/>
          <w:color w:val="auto"/>
          <w:sz w:val="44"/>
          <w:szCs w:val="44"/>
        </w:rPr>
        <w:t>年政府信息公开工作年度报告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bCs/>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根据《</w:t>
      </w:r>
      <w:r>
        <w:rPr>
          <w:rFonts w:ascii="仿宋_GB2312" w:hAnsi="仿宋_GB2312" w:eastAsia="仿宋_GB2312" w:cs="仿宋_GB2312"/>
          <w:bCs/>
          <w:color w:val="auto"/>
          <w:sz w:val="32"/>
          <w:szCs w:val="32"/>
        </w:rPr>
        <w:t>中华人民共和国政府信息公开条例</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和《中华人民共和国政府信息公开工作年度报告格式》</w:t>
      </w:r>
      <w:r>
        <w:rPr>
          <w:rFonts w:hint="eastAsia" w:ascii="仿宋_GB2312" w:hAnsi="仿宋_GB2312" w:eastAsia="仿宋_GB2312" w:cs="仿宋_GB2312"/>
          <w:bCs/>
          <w:color w:val="auto"/>
          <w:sz w:val="32"/>
          <w:szCs w:val="32"/>
        </w:rPr>
        <w:t>规定</w:t>
      </w:r>
      <w:r>
        <w:rPr>
          <w:rFonts w:ascii="仿宋_GB2312" w:hAnsi="仿宋_GB2312" w:eastAsia="仿宋_GB2312" w:cs="仿宋_GB2312"/>
          <w:bCs/>
          <w:color w:val="auto"/>
          <w:sz w:val="32"/>
          <w:szCs w:val="32"/>
        </w:rPr>
        <w:t>和</w:t>
      </w:r>
      <w:r>
        <w:rPr>
          <w:rFonts w:hint="eastAsia" w:ascii="仿宋_GB2312" w:hAnsi="仿宋_GB2312" w:eastAsia="仿宋_GB2312" w:cs="仿宋_GB2312"/>
          <w:bCs/>
          <w:color w:val="auto"/>
          <w:sz w:val="32"/>
          <w:szCs w:val="32"/>
        </w:rPr>
        <w:t>自治区相关要求</w:t>
      </w:r>
      <w:r>
        <w:rPr>
          <w:rFonts w:ascii="仿宋_GB2312" w:hAnsi="仿宋_GB2312" w:eastAsia="仿宋_GB2312" w:cs="仿宋_GB2312"/>
          <w:bCs/>
          <w:color w:val="auto"/>
          <w:sz w:val="32"/>
          <w:szCs w:val="32"/>
        </w:rPr>
        <w:t>，现公布西藏自治区统计局</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ascii="仿宋_GB2312" w:hAnsi="仿宋_GB2312" w:eastAsia="仿宋_GB2312" w:cs="仿宋_GB2312"/>
          <w:bCs/>
          <w:color w:val="auto"/>
          <w:sz w:val="32"/>
          <w:szCs w:val="32"/>
        </w:rPr>
        <w:t>政府信息</w:t>
      </w:r>
      <w:r>
        <w:rPr>
          <w:rFonts w:hint="eastAsia" w:ascii="仿宋_GB2312" w:hAnsi="仿宋_GB2312" w:eastAsia="仿宋_GB2312" w:cs="仿宋_GB2312"/>
          <w:bCs/>
          <w:color w:val="auto"/>
          <w:sz w:val="32"/>
          <w:szCs w:val="32"/>
        </w:rPr>
        <w:t>公开</w:t>
      </w:r>
      <w:r>
        <w:rPr>
          <w:rFonts w:ascii="仿宋_GB2312" w:hAnsi="仿宋_GB2312" w:eastAsia="仿宋_GB2312" w:cs="仿宋_GB2312"/>
          <w:bCs/>
          <w:color w:val="auto"/>
          <w:sz w:val="32"/>
          <w:szCs w:val="32"/>
        </w:rPr>
        <w:t>工作报告。本</w:t>
      </w:r>
      <w:r>
        <w:rPr>
          <w:rFonts w:hint="eastAsia" w:ascii="仿宋_GB2312" w:hAnsi="仿宋_GB2312" w:eastAsia="仿宋_GB2312" w:cs="仿宋_GB2312"/>
          <w:bCs/>
          <w:color w:val="auto"/>
          <w:sz w:val="32"/>
          <w:szCs w:val="32"/>
        </w:rPr>
        <w:t>报告</w:t>
      </w:r>
      <w:r>
        <w:rPr>
          <w:rFonts w:ascii="仿宋_GB2312" w:hAnsi="仿宋_GB2312" w:eastAsia="仿宋_GB2312" w:cs="仿宋_GB2312"/>
          <w:bCs/>
          <w:color w:val="auto"/>
          <w:sz w:val="32"/>
          <w:szCs w:val="32"/>
        </w:rPr>
        <w:t>由总体情况、主动公开政府信息情况、</w:t>
      </w:r>
      <w:r>
        <w:rPr>
          <w:rFonts w:hint="eastAsia" w:ascii="仿宋_GB2312" w:hAnsi="仿宋_GB2312" w:eastAsia="仿宋_GB2312" w:cs="仿宋_GB2312"/>
          <w:bCs/>
          <w:color w:val="auto"/>
          <w:sz w:val="32"/>
          <w:szCs w:val="32"/>
        </w:rPr>
        <w:t>收到</w:t>
      </w:r>
      <w:r>
        <w:rPr>
          <w:rFonts w:ascii="仿宋_GB2312" w:hAnsi="仿宋_GB2312" w:eastAsia="仿宋_GB2312" w:cs="仿宋_GB2312"/>
          <w:bCs/>
          <w:color w:val="auto"/>
          <w:sz w:val="32"/>
          <w:szCs w:val="32"/>
        </w:rPr>
        <w:t>和处理政府信息公开申请情况、政府信息公开行政复议及行政诉讼情况、存在的主要问题及改进情况、其他需要报告的事项六部分组成。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一、总体情况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rPr>
        <w:t>年</w:t>
      </w:r>
      <w:r>
        <w:rPr>
          <w:rFonts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rPr>
        <w:t>自治区统计局</w:t>
      </w:r>
      <w:r>
        <w:rPr>
          <w:rFonts w:hint="eastAsia" w:ascii="仿宋_GB2312" w:hAnsi="仿宋_GB2312" w:eastAsia="仿宋_GB2312" w:cs="仿宋_GB2312"/>
          <w:bCs/>
          <w:color w:val="auto"/>
          <w:sz w:val="32"/>
          <w:szCs w:val="32"/>
          <w:lang w:eastAsia="zh-CN"/>
        </w:rPr>
        <w:t>坚持</w:t>
      </w:r>
      <w:r>
        <w:rPr>
          <w:rFonts w:hint="eastAsia" w:ascii="仿宋_GB2312" w:hAnsi="仿宋_GB2312" w:eastAsia="仿宋_GB2312" w:cs="仿宋_GB2312"/>
          <w:bCs/>
          <w:color w:val="auto"/>
          <w:sz w:val="32"/>
          <w:szCs w:val="32"/>
        </w:rPr>
        <w:t>以习近平</w:t>
      </w:r>
      <w:r>
        <w:rPr>
          <w:rFonts w:ascii="仿宋_GB2312" w:hAnsi="仿宋_GB2312" w:eastAsia="仿宋_GB2312" w:cs="仿宋_GB2312"/>
          <w:bCs/>
          <w:color w:val="auto"/>
          <w:sz w:val="32"/>
          <w:szCs w:val="32"/>
        </w:rPr>
        <w:t>新时代中国特色社会主义思想为指导，</w:t>
      </w:r>
      <w:r>
        <w:rPr>
          <w:rFonts w:hint="eastAsia" w:ascii="仿宋_GB2312" w:hAnsi="仿宋_GB2312" w:eastAsia="仿宋_GB2312" w:cs="仿宋_GB2312"/>
          <w:bCs/>
          <w:color w:val="auto"/>
          <w:sz w:val="32"/>
          <w:szCs w:val="32"/>
          <w:lang w:eastAsia="zh-CN"/>
        </w:rPr>
        <w:t>深入学习贯彻党的二十大和二十届历次全会</w:t>
      </w:r>
      <w:r>
        <w:rPr>
          <w:rFonts w:ascii="仿宋_GB2312" w:hAnsi="仿宋_GB2312" w:eastAsia="仿宋_GB2312" w:cs="仿宋_GB2312"/>
          <w:bCs/>
          <w:color w:val="auto"/>
          <w:sz w:val="32"/>
          <w:szCs w:val="32"/>
        </w:rPr>
        <w:t>精神，</w:t>
      </w:r>
      <w:r>
        <w:rPr>
          <w:rFonts w:hint="eastAsia" w:ascii="仿宋_GB2312" w:hAnsi="仿宋_GB2312" w:eastAsia="仿宋_GB2312" w:cs="仿宋_GB2312"/>
          <w:bCs/>
          <w:color w:val="auto"/>
          <w:sz w:val="32"/>
          <w:szCs w:val="32"/>
          <w:lang w:eastAsia="zh-CN"/>
        </w:rPr>
        <w:t>全面贯彻落实党中央、国务院关于政府信息公开工作决策部署和自治区党委、政府工作要求，严格执行</w:t>
      </w:r>
      <w:r>
        <w:rPr>
          <w:rFonts w:hint="eastAsia"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rPr>
        <w:t>中华人民共和国政府信息公开条例</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，紧紧围绕统计重点工作和人民群众关注关切，加大统计数据发布解读力度，强化决策执行公开，推进重点领域信息公开，政府信息公开质效不断提升，统计信息服务社会公众能力有效提高</w:t>
      </w:r>
      <w:r>
        <w:rPr>
          <w:rFonts w:hint="eastAsia" w:ascii="仿宋_GB2312" w:hAnsi="仿宋_GB2312" w:eastAsia="仿宋_GB2312" w:cs="仿宋_GB2312"/>
          <w:bCs/>
          <w:color w:val="auto"/>
          <w:sz w:val="32"/>
          <w:szCs w:val="32"/>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 xml:space="preserve">    </w:t>
      </w:r>
      <w:r>
        <w:rPr>
          <w:rFonts w:hint="eastAsia" w:ascii="楷体_GB2312" w:hAnsi="楷体_GB2312" w:eastAsia="楷体_GB2312" w:cs="楷体_GB2312"/>
          <w:b w:val="0"/>
          <w:bCs/>
          <w:color w:val="auto"/>
          <w:sz w:val="32"/>
          <w:szCs w:val="32"/>
          <w:lang w:eastAsia="zh-CN"/>
        </w:rPr>
        <w:t>（一）着力做好主动公开</w:t>
      </w:r>
      <w:r>
        <w:rPr>
          <w:rFonts w:hint="eastAsia" w:ascii="楷体_GB2312" w:hAnsi="楷体_GB2312" w:eastAsia="楷体_GB2312" w:cs="楷体_GB2312"/>
          <w:b w:val="0"/>
          <w:bCs/>
          <w:color w:val="auto"/>
          <w:sz w:val="32"/>
          <w:szCs w:val="32"/>
        </w:rPr>
        <w:t>。</w:t>
      </w:r>
      <w:r>
        <w:rPr>
          <w:rFonts w:hint="eastAsia" w:ascii="仿宋_GB2312" w:eastAsia="仿宋_GB2312"/>
          <w:sz w:val="32"/>
          <w:lang w:eastAsia="zh-CN"/>
        </w:rPr>
        <w:t>一是全面做好数据发布解读。</w:t>
      </w:r>
      <w:r>
        <w:rPr>
          <w:rFonts w:ascii="仿宋_GB2312" w:eastAsia="仿宋_GB2312"/>
          <w:sz w:val="32"/>
        </w:rPr>
        <w:t>通过召开新闻发布会、在主流媒体发布统计数据等方式及时通报全区经济运行情况。</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ascii="仿宋_GB2312" w:eastAsia="仿宋_GB2312"/>
          <w:sz w:val="32"/>
        </w:rPr>
        <w:t>经自治区党委</w:t>
      </w:r>
      <w:r>
        <w:rPr>
          <w:rFonts w:hint="eastAsia" w:ascii="仿宋_GB2312" w:eastAsia="仿宋_GB2312"/>
          <w:sz w:val="32"/>
          <w:lang w:eastAsia="zh-CN"/>
        </w:rPr>
        <w:t>、</w:t>
      </w:r>
      <w:r>
        <w:rPr>
          <w:rFonts w:ascii="仿宋_GB2312" w:eastAsia="仿宋_GB2312"/>
          <w:sz w:val="32"/>
        </w:rPr>
        <w:t>政府同意，</w:t>
      </w:r>
      <w:r>
        <w:rPr>
          <w:rFonts w:hint="eastAsia" w:ascii="仿宋_GB2312" w:hAnsi="仿宋_GB2312" w:eastAsia="仿宋_GB2312" w:cs="仿宋_GB2312"/>
          <w:color w:val="auto"/>
          <w:sz w:val="32"/>
          <w:szCs w:val="32"/>
          <w:lang w:val="en-US" w:eastAsia="zh-CN"/>
        </w:rPr>
        <w:t>召开了</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年全年、202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分季度</w:t>
      </w:r>
      <w:r>
        <w:rPr>
          <w:rFonts w:hint="eastAsia" w:ascii="仿宋_GB2312" w:hAnsi="仿宋_GB2312" w:eastAsia="仿宋_GB2312" w:cs="仿宋_GB2312"/>
          <w:color w:val="auto"/>
          <w:sz w:val="32"/>
          <w:szCs w:val="32"/>
        </w:rPr>
        <w:t>全区经济运行情况</w:t>
      </w:r>
      <w:r>
        <w:rPr>
          <w:rFonts w:hint="eastAsia" w:ascii="仿宋_GB2312" w:hAnsi="仿宋_GB2312" w:eastAsia="仿宋_GB2312" w:cs="仿宋_GB2312"/>
          <w:bCs/>
          <w:color w:val="auto"/>
          <w:sz w:val="32"/>
          <w:szCs w:val="32"/>
        </w:rPr>
        <w:t>新闻发布会</w:t>
      </w:r>
      <w:r>
        <w:rPr>
          <w:rFonts w:hint="eastAsia" w:ascii="仿宋_GB2312" w:hAnsi="仿宋_GB2312" w:eastAsia="仿宋_GB2312" w:cs="仿宋_GB2312"/>
          <w:color w:val="auto"/>
          <w:sz w:val="32"/>
          <w:szCs w:val="32"/>
        </w:rPr>
        <w:t>。通过西藏日报等主流媒体全文发布了《202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年西藏自治区国民经济和社会发展统计公报》</w:t>
      </w:r>
      <w:r>
        <w:rPr>
          <w:rFonts w:hint="eastAsia" w:ascii="仿宋_GB2312" w:hAnsi="仿宋_GB2312" w:eastAsia="仿宋_GB2312" w:cs="仿宋_GB2312"/>
          <w:color w:val="auto"/>
          <w:sz w:val="32"/>
          <w:szCs w:val="32"/>
          <w:lang w:eastAsia="zh-CN"/>
        </w:rPr>
        <w:t>《西藏自治区第五次全国经济普查公报》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举办</w:t>
      </w:r>
      <w:r>
        <w:rPr>
          <w:rFonts w:hint="eastAsia" w:ascii="仿宋_GB2312" w:hAnsi="仿宋_GB2312" w:eastAsia="仿宋_GB2312" w:cs="仿宋_GB2312"/>
          <w:color w:val="auto"/>
          <w:sz w:val="32"/>
          <w:szCs w:val="32"/>
        </w:rPr>
        <w:t>主题为“诚实诚信守初心 依法统计担使命”</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自治区第十</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届“中国统计开放日”</w:t>
      </w:r>
      <w:r>
        <w:rPr>
          <w:rFonts w:hint="eastAsia" w:ascii="仿宋_GB2312" w:hAnsi="仿宋_GB2312" w:eastAsia="仿宋_GB2312" w:cs="仿宋_GB2312"/>
          <w:color w:val="auto"/>
          <w:sz w:val="32"/>
          <w:szCs w:val="32"/>
          <w:lang w:eastAsia="zh-CN"/>
        </w:rPr>
        <w:t>活动，进一步加深公众对统计调查的认识和理解，着力提升政府统计公信力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二是及时公开财务信息。</w:t>
      </w:r>
      <w:r>
        <w:rPr>
          <w:rFonts w:hint="eastAsia" w:ascii="仿宋_GB2312" w:hAnsi="仿宋_GB2312" w:eastAsia="仿宋_GB2312" w:cs="仿宋_GB2312"/>
          <w:color w:val="auto"/>
          <w:sz w:val="32"/>
          <w:szCs w:val="32"/>
          <w:lang w:val="en-US" w:eastAsia="zh-CN"/>
        </w:rPr>
        <w:t>在自治区人民政府门户网站和局门户网站主动公开局2024年决算报告和局2025年部门预算。</w:t>
      </w:r>
      <w:r>
        <w:rPr>
          <w:rFonts w:hint="eastAsia" w:ascii="仿宋_GB2312" w:hAnsi="仿宋_GB2312" w:eastAsia="仿宋_GB2312" w:cs="仿宋_GB2312"/>
          <w:color w:val="auto"/>
          <w:sz w:val="32"/>
          <w:szCs w:val="32"/>
          <w:lang w:eastAsia="zh-CN"/>
        </w:rPr>
        <w:t>三是做好重点信息公示公告。及时公布涉企收费目录清单、西藏自治区第五次全国经济普查课题研究公开招标公告和中标结果，及时对西藏自治区第五次全国经济普查先进集体和先进个人拟表彰对象进行公示。</w:t>
      </w:r>
      <w:r>
        <w:rPr>
          <w:rFonts w:hint="eastAsia" w:ascii="仿宋_GB2312" w:hAnsi="仿宋_GB2312" w:eastAsia="仿宋_GB2312" w:cs="仿宋_GB2312"/>
          <w:color w:val="auto"/>
          <w:sz w:val="32"/>
          <w:szCs w:val="32"/>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楷体_GB2312" w:hAnsi="楷体_GB2312" w:eastAsia="楷体_GB2312" w:cs="楷体_GB2312"/>
          <w:bCs/>
          <w:color w:val="auto"/>
          <w:sz w:val="32"/>
          <w:szCs w:val="32"/>
          <w:lang w:eastAsia="zh-CN"/>
        </w:rPr>
        <w:t>（二）着力做好依申请公开。</w:t>
      </w:r>
      <w:r>
        <w:rPr>
          <w:rFonts w:hint="eastAsia" w:ascii="仿宋_GB2312" w:hAnsi="仿宋_GB2312" w:eastAsia="仿宋_GB2312" w:cs="仿宋_GB2312"/>
          <w:bCs/>
          <w:color w:val="auto"/>
          <w:sz w:val="32"/>
          <w:szCs w:val="32"/>
          <w:lang w:eastAsia="zh-CN"/>
        </w:rPr>
        <w:t>严格执行依申请公开审批流程，依法依规办理政府信息公开申请。</w:t>
      </w:r>
      <w:r>
        <w:rPr>
          <w:rFonts w:hint="eastAsia" w:ascii="仿宋_GB2312" w:hAnsi="仿宋_GB2312" w:eastAsia="仿宋_GB2312" w:cs="仿宋_GB2312"/>
          <w:bCs/>
          <w:color w:val="auto"/>
          <w:sz w:val="32"/>
          <w:szCs w:val="32"/>
          <w:lang w:val="en-US" w:eastAsia="zh-CN"/>
        </w:rPr>
        <w:t>2025年，新收政府信息公开申请</w:t>
      </w:r>
      <w:r>
        <w:rPr>
          <w:rFonts w:hint="eastAsia" w:ascii="仿宋_GB2312" w:hAnsi="仿宋_GB2312" w:eastAsia="仿宋_GB2312" w:cs="仿宋_GB2312"/>
          <w:bCs/>
          <w:color w:val="auto"/>
          <w:sz w:val="32"/>
          <w:szCs w:val="32"/>
          <w:highlight w:val="none"/>
          <w:lang w:val="en-US" w:eastAsia="zh-CN"/>
        </w:rPr>
        <w:t>24</w:t>
      </w:r>
      <w:r>
        <w:rPr>
          <w:rFonts w:hint="eastAsia" w:ascii="仿宋_GB2312" w:hAnsi="仿宋_GB2312" w:eastAsia="仿宋_GB2312" w:cs="仿宋_GB2312"/>
          <w:bCs/>
          <w:color w:val="auto"/>
          <w:sz w:val="32"/>
          <w:szCs w:val="32"/>
          <w:lang w:val="en-US" w:eastAsia="zh-CN"/>
        </w:rPr>
        <w:t>件，全部依法依规进行答复。没有发生因政府信息公开引发的行政复议、行政诉讼事件。</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jc w:val="both"/>
        <w:textAlignment w:val="auto"/>
        <w:rPr>
          <w:rFonts w:hint="eastAsia" w:ascii="仿宋_GB2312" w:hAnsi="Times New Roman" w:eastAsia="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auto"/>
          <w:sz w:val="32"/>
          <w:szCs w:val="32"/>
          <w:lang w:eastAsia="zh-CN"/>
        </w:rPr>
        <w:t>（三）着力做好平台建设</w:t>
      </w:r>
      <w:r>
        <w:rPr>
          <w:rFonts w:hint="eastAsia" w:ascii="楷体_GB2312" w:hAnsi="楷体_GB2312" w:eastAsia="楷体_GB2312" w:cs="楷体_GB2312"/>
          <w:b w:val="0"/>
          <w:bCs/>
          <w:color w:val="auto"/>
          <w:sz w:val="32"/>
          <w:szCs w:val="32"/>
        </w:rPr>
        <w:t>。</w:t>
      </w:r>
      <w:r>
        <w:rPr>
          <w:rFonts w:hint="eastAsia" w:ascii="仿宋_GB2312" w:hAnsi="Times New Roman" w:eastAsia="仿宋_GB2312"/>
          <w:color w:val="000000" w:themeColor="text1"/>
          <w:sz w:val="32"/>
          <w:szCs w:val="32"/>
          <w:lang w:eastAsia="zh-CN"/>
          <w14:textFill>
            <w14:solidFill>
              <w14:schemeClr w14:val="tx1"/>
            </w14:solidFill>
          </w14:textFill>
        </w:rPr>
        <w:t>一是</w:t>
      </w:r>
      <w:r>
        <w:rPr>
          <w:rFonts w:hint="eastAsia" w:ascii="仿宋_GB2312" w:hAnsi="Times New Roman" w:eastAsia="仿宋_GB2312"/>
          <w:color w:val="000000" w:themeColor="text1"/>
          <w:sz w:val="32"/>
          <w:szCs w:val="32"/>
          <w14:textFill>
            <w14:solidFill>
              <w14:schemeClr w14:val="tx1"/>
            </w14:solidFill>
          </w14:textFill>
        </w:rPr>
        <w:t>不断优化门户网站服务功能，丰富信息公开内容</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2025年度</w:t>
      </w:r>
      <w:r>
        <w:rPr>
          <w:rFonts w:hint="eastAsia" w:ascii="仿宋_GB2312" w:hAnsi="Times New Roman" w:eastAsia="仿宋_GB2312"/>
          <w:color w:val="000000" w:themeColor="text1"/>
          <w:sz w:val="32"/>
          <w:szCs w:val="32"/>
          <w14:textFill>
            <w14:solidFill>
              <w14:schemeClr w14:val="tx1"/>
            </w14:solidFill>
          </w14:textFill>
        </w:rPr>
        <w:t>通过</w:t>
      </w:r>
      <w:r>
        <w:rPr>
          <w:rFonts w:hint="eastAsia" w:ascii="仿宋_GB2312" w:hAnsi="Times New Roman" w:eastAsia="仿宋_GB2312"/>
          <w:color w:val="000000" w:themeColor="text1"/>
          <w:sz w:val="32"/>
          <w:szCs w:val="32"/>
          <w:lang w:eastAsia="zh-CN"/>
          <w14:textFill>
            <w14:solidFill>
              <w14:schemeClr w14:val="tx1"/>
            </w14:solidFill>
          </w14:textFill>
        </w:rPr>
        <w:t>局门户网站发布</w:t>
      </w:r>
      <w:r>
        <w:rPr>
          <w:rFonts w:hint="eastAsia" w:ascii="仿宋_GB2312" w:hAnsi="Times New Roman" w:eastAsia="仿宋_GB2312"/>
          <w:color w:val="000000" w:themeColor="text1"/>
          <w:sz w:val="32"/>
          <w:szCs w:val="32"/>
          <w14:textFill>
            <w14:solidFill>
              <w14:schemeClr w14:val="tx1"/>
            </w14:solidFill>
          </w14:textFill>
        </w:rPr>
        <w:t>统计公报、统计分析、统计数据</w:t>
      </w:r>
      <w:r>
        <w:rPr>
          <w:rFonts w:hint="eastAsia" w:ascii="仿宋_GB2312" w:hAnsi="Times New Roman" w:eastAsia="仿宋_GB2312"/>
          <w:color w:val="000000" w:themeColor="text1"/>
          <w:sz w:val="32"/>
          <w:szCs w:val="32"/>
          <w:lang w:eastAsia="zh-CN"/>
          <w14:textFill>
            <w14:solidFill>
              <w14:schemeClr w14:val="tx1"/>
            </w14:solidFill>
          </w14:textFill>
        </w:rPr>
        <w:t>等各类信息</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136</w:t>
      </w:r>
      <w:r>
        <w:rPr>
          <w:rFonts w:hint="eastAsia" w:ascii="仿宋_GB2312" w:hAnsi="Times New Roman" w:eastAsia="仿宋_GB2312"/>
          <w:color w:val="000000" w:themeColor="text1"/>
          <w:sz w:val="32"/>
          <w:szCs w:val="32"/>
          <w:lang w:val="en-US" w:eastAsia="zh-CN"/>
          <w14:textFill>
            <w14:solidFill>
              <w14:schemeClr w14:val="tx1"/>
            </w14:solidFill>
          </w14:textFill>
        </w:rPr>
        <w:t>条</w:t>
      </w:r>
      <w:r>
        <w:rPr>
          <w:rFonts w:hint="eastAsia" w:ascii="仿宋_GB2312" w:hAnsi="Times New Roman" w:eastAsia="仿宋_GB2312"/>
          <w:color w:val="000000" w:themeColor="text1"/>
          <w:sz w:val="32"/>
          <w:szCs w:val="32"/>
          <w:lang w:eastAsia="zh-CN"/>
          <w14:textFill>
            <w14:solidFill>
              <w14:schemeClr w14:val="tx1"/>
            </w14:solidFill>
          </w14:textFill>
        </w:rPr>
        <w:t>。二是加强监管，坚持常态化监测，完善栏目设置，及时更新信息，确保网站平稳安全运行。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Fonts w:hint="eastAsia" w:ascii="仿宋_GB2312" w:hAnsi="仿宋_GB2312" w:eastAsia="仿宋_GB2312" w:cs="仿宋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（四）深入推进统计法治信息公开。</w:t>
      </w:r>
      <w:r>
        <w:rPr>
          <w:rFonts w:hint="eastAsia" w:ascii="仿宋_GB2312" w:hAnsi="仿宋_GB2312" w:eastAsia="仿宋_GB2312" w:cs="仿宋_GB2312"/>
          <w:b w:val="0"/>
          <w:bCs/>
          <w:color w:val="auto"/>
          <w:sz w:val="32"/>
          <w:szCs w:val="32"/>
          <w:lang w:eastAsia="zh-CN"/>
        </w:rPr>
        <w:t>通过局门户网站，公开了统计法律法规、权责清单、执法事项目录清单、涉企专项行政检查计划、行政检查标准清单、行政检查频次上限规定、行政检查事项及检查依据清单、行政检查主体信息公示表及统计违法举报电话、邮箱等，对本系统统计执法证信息进行了公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（五）强化政府信息公开管理。</w:t>
      </w:r>
      <w:r>
        <w:rPr>
          <w:rFonts w:hint="eastAsia" w:ascii="仿宋_GB2312" w:hAnsi="仿宋_GB2312" w:eastAsia="仿宋_GB2312" w:cs="仿宋_GB2312"/>
          <w:b w:val="0"/>
          <w:bCs/>
          <w:color w:val="auto"/>
          <w:sz w:val="32"/>
          <w:szCs w:val="32"/>
          <w:lang w:eastAsia="zh-CN"/>
        </w:rPr>
        <w:t>一是严密公文制发审核。文件起草过程中严格把关，将公开属性认定等方面作为审核的重点，实现政务公开与公文办理同步开展。二是严密公开信息审查。</w:t>
      </w:r>
      <w:r>
        <w:rPr>
          <w:rFonts w:hint="eastAsia" w:ascii="仿宋_GB2312" w:hAnsi="仿宋_GB2312" w:eastAsia="仿宋_GB2312" w:cs="仿宋_GB2312"/>
          <w:color w:val="auto"/>
          <w:sz w:val="32"/>
          <w:szCs w:val="32"/>
          <w:lang w:eastAsia="zh-CN"/>
        </w:rPr>
        <w:t>严格落实局</w:t>
      </w:r>
      <w:r>
        <w:rPr>
          <w:rFonts w:ascii="仿宋_GB2312" w:hAnsi="仿宋_GB2312" w:eastAsia="仿宋_GB2312" w:cs="仿宋_GB2312"/>
          <w:color w:val="auto"/>
          <w:sz w:val="32"/>
          <w:szCs w:val="32"/>
        </w:rPr>
        <w:t>政府信息公开工作制度</w:t>
      </w:r>
      <w:r>
        <w:rPr>
          <w:rFonts w:hint="eastAsia" w:ascii="仿宋_GB2312" w:hAnsi="仿宋_GB2312" w:eastAsia="仿宋_GB2312" w:cs="仿宋_GB2312"/>
          <w:color w:val="auto"/>
          <w:sz w:val="32"/>
          <w:szCs w:val="32"/>
          <w:lang w:eastAsia="zh-CN"/>
        </w:rPr>
        <w:t>，按照“谁公开、谁负责”“先审查、后公开”和“一事一审”的原则，加强信息公开保密审查，严格执行信息公开多级审批机制，抓实抓细各项重点领域信息公开。</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eastAsia="zh-CN"/>
        </w:rPr>
        <w:t>对局门户</w:t>
      </w:r>
      <w:r>
        <w:rPr>
          <w:rFonts w:ascii="仿宋_GB2312" w:hAnsi="仿宋_GB2312" w:eastAsia="仿宋_GB2312" w:cs="仿宋_GB2312"/>
          <w:color w:val="auto"/>
          <w:sz w:val="32"/>
          <w:szCs w:val="32"/>
        </w:rPr>
        <w:t>网站</w:t>
      </w:r>
      <w:r>
        <w:rPr>
          <w:rFonts w:hint="eastAsia" w:ascii="仿宋_GB2312" w:hAnsi="仿宋_GB2312" w:eastAsia="仿宋_GB2312" w:cs="仿宋_GB2312"/>
          <w:color w:val="auto"/>
          <w:sz w:val="32"/>
          <w:szCs w:val="32"/>
          <w:lang w:eastAsia="zh-CN"/>
        </w:rPr>
        <w:t>的管理和内容的审核把关，确保内容准确、表述妥当、数据精准</w:t>
      </w:r>
      <w:r>
        <w:rPr>
          <w:rFonts w:hint="eastAsia" w:ascii="仿宋_GB2312" w:hAnsi="仿宋_GB2312" w:eastAsia="仿宋_GB2312" w:cs="仿宋_GB2312"/>
          <w:color w:val="auto"/>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二、主动公开政府信息情况</w:t>
      </w:r>
    </w:p>
    <w:tbl>
      <w:tblPr>
        <w:tblStyle w:val="6"/>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435" w:type="dxa"/>
            <w:tcBorders>
              <w:top w:val="single" w:color="auto" w:sz="8" w:space="0"/>
              <w:left w:val="nil"/>
              <w:bottom w:val="single" w:color="auto" w:sz="8" w:space="0"/>
              <w:right w:val="sing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left"/>
              <w:textAlignment w:val="auto"/>
            </w:pPr>
            <w:r>
              <w:rPr>
                <w:rFonts w:hint="eastAsia" w:ascii="宋体" w:hAnsi="宋体" w:eastAsia="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sz w:val="24"/>
              </w:rPr>
            </w:pPr>
            <w:r>
              <w:rPr>
                <w:rFonts w:hint="eastAsia"/>
                <w:sz w:val="24"/>
              </w:rPr>
              <w:t>0</w:t>
            </w:r>
          </w:p>
        </w:tc>
        <w:tc>
          <w:tcPr>
            <w:tcW w:w="2435" w:type="dxa"/>
            <w:tcBorders>
              <w:top w:val="nil"/>
              <w:left w:val="nil"/>
              <w:bottom w:val="single" w:color="auto" w:sz="8" w:space="0"/>
              <w:right w:val="sing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sz w:val="24"/>
              </w:rPr>
            </w:pPr>
            <w:r>
              <w:rPr>
                <w:rFonts w:hint="eastAsia"/>
                <w:sz w:val="24"/>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sz w:val="24"/>
              </w:rPr>
            </w:pPr>
            <w:r>
              <w:rPr>
                <w:rFonts w:hint="eastAsia"/>
                <w:sz w:val="24"/>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left"/>
              <w:textAlignment w:val="auto"/>
            </w:pPr>
            <w:r>
              <w:rPr>
                <w:rFonts w:hint="eastAsia" w:ascii="宋体" w:hAnsi="宋体" w:eastAsia="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eastAsia="仿宋_GB2312"/>
                <w:sz w:val="24"/>
                <w:lang w:eastAsia="zh-CN"/>
              </w:rPr>
            </w:pPr>
            <w:r>
              <w:rPr>
                <w:rFonts w:hint="eastAsia"/>
                <w:sz w:val="24"/>
                <w:lang w:val="en-US" w:eastAsia="zh-CN"/>
              </w:rPr>
              <w:t>0</w:t>
            </w:r>
          </w:p>
        </w:tc>
        <w:tc>
          <w:tcPr>
            <w:tcW w:w="2435" w:type="dxa"/>
            <w:tcBorders>
              <w:top w:val="nil"/>
              <w:left w:val="nil"/>
              <w:bottom w:val="single" w:color="auto" w:sz="8" w:space="0"/>
              <w:right w:val="sing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sz w:val="24"/>
              </w:rPr>
            </w:pPr>
            <w:r>
              <w:rPr>
                <w:rFonts w:hint="eastAsia"/>
                <w:sz w:val="24"/>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eastAsia="仿宋_GB2312"/>
                <w:sz w:val="24"/>
                <w:lang w:eastAsia="zh-CN"/>
              </w:rPr>
            </w:pPr>
            <w:r>
              <w:rPr>
                <w:rFonts w:hint="eastAsia"/>
                <w:sz w:val="24"/>
                <w:lang w:val="en-US" w:eastAsia="zh-CN"/>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left"/>
              <w:textAlignment w:val="auto"/>
            </w:pPr>
            <w:r>
              <w:rPr>
                <w:rFonts w:hint="eastAsia" w:ascii="宋体" w:hAnsi="宋体" w:eastAsia="宋体" w:cs="宋体"/>
                <w:color w:val="000000"/>
                <w:kern w:val="0"/>
                <w:sz w:val="20"/>
                <w:szCs w:val="20"/>
                <w:lang w:bidi="ar"/>
              </w:rPr>
              <w:t>行政许可</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sz w:val="24"/>
              </w:rPr>
            </w:pPr>
            <w:r>
              <w:rPr>
                <w:rFonts w:hint="eastAsia"/>
                <w:sz w:val="24"/>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left"/>
              <w:textAlignment w:val="auto"/>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eastAsia="仿宋_GB2312"/>
                <w:sz w:val="24"/>
                <w:lang w:eastAsia="zh-CN"/>
              </w:rPr>
            </w:pPr>
            <w:r>
              <w:rPr>
                <w:rFonts w:hint="eastAsia"/>
                <w:sz w:val="24"/>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left"/>
              <w:textAlignment w:val="auto"/>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sz w:val="24"/>
              </w:rPr>
            </w:pPr>
            <w:r>
              <w:rPr>
                <w:rFonts w:hint="eastAsia"/>
                <w:sz w:val="24"/>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pPr>
            <w:r>
              <w:rPr>
                <w:rFonts w:hint="eastAsia" w:ascii="宋体" w:hAnsi="宋体" w:eastAsia="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left"/>
              <w:textAlignment w:val="auto"/>
            </w:pPr>
            <w:r>
              <w:rPr>
                <w:rFonts w:hint="eastAsia" w:ascii="宋体" w:hAnsi="宋体" w:eastAsia="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宋体"/>
                <w:sz w:val="24"/>
              </w:rPr>
            </w:pPr>
            <w:r>
              <w:rPr>
                <w:rFonts w:hint="eastAsia" w:ascii="宋体"/>
                <w:sz w:val="24"/>
              </w:rPr>
              <w:t>0</w:t>
            </w:r>
          </w:p>
        </w:tc>
      </w:tr>
    </w:tbl>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ascii="黑体" w:hAnsi="黑体" w:eastAsia="黑体" w:cs="黑体"/>
          <w:bCs/>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754"/>
        <w:gridCol w:w="921"/>
        <w:gridCol w:w="3257"/>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vMerge w:val="restart"/>
            <w:tcBorders>
              <w:top w:val="single" w:color="auto" w:sz="8" w:space="0"/>
              <w:left w:val="single" w:color="auto" w:sz="8" w:space="0"/>
              <w:bottom w:val="outset" w:color="auto" w:sz="6"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vMerge w:val="continue"/>
            <w:tcBorders>
              <w:top w:val="single" w:color="auto" w:sz="8" w:space="0"/>
              <w:left w:val="single" w:color="auto" w:sz="8" w:space="0"/>
              <w:bottom w:val="outset" w:color="auto" w:sz="6"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688" w:type="dxa"/>
            <w:vMerge w:val="restart"/>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法人或其他组织</w:t>
            </w:r>
          </w:p>
        </w:tc>
        <w:tc>
          <w:tcPr>
            <w:tcW w:w="688" w:type="dxa"/>
            <w:vMerge w:val="restart"/>
            <w:tcBorders>
              <w:top w:val="single" w:color="auto" w:sz="8" w:space="0"/>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vMerge w:val="continue"/>
            <w:tcBorders>
              <w:top w:val="single" w:color="auto" w:sz="8" w:space="0"/>
              <w:left w:val="single" w:color="auto" w:sz="8" w:space="0"/>
              <w:bottom w:val="outset" w:color="auto" w:sz="6"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688" w:type="dxa"/>
            <w:vMerge w:val="continue"/>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商业</w:t>
            </w: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企业</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科研</w:t>
            </w: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pPr>
            <w:r>
              <w:rPr>
                <w:rFonts w:hint="eastAsia" w:ascii="宋体" w:hAnsi="宋体" w:eastAsia="宋体" w:cs="宋体"/>
                <w:kern w:val="0"/>
                <w:sz w:val="20"/>
                <w:szCs w:val="20"/>
                <w:lang w:bidi="ar"/>
              </w:rPr>
              <w:t>其他</w:t>
            </w:r>
          </w:p>
        </w:tc>
        <w:tc>
          <w:tcPr>
            <w:tcW w:w="688" w:type="dxa"/>
            <w:vMerge w:val="continue"/>
            <w:tcBorders>
              <w:top w:val="single" w:color="auto" w:sz="8" w:space="0"/>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US" w:eastAsia="zh-CN"/>
              </w:rPr>
            </w:pPr>
            <w:r>
              <w:rPr>
                <w:rFonts w:hint="eastAsia"/>
                <w:sz w:val="20"/>
                <w:szCs w:val="20"/>
                <w:lang w:val="en-US" w:eastAsia="zh-CN"/>
              </w:rPr>
              <w:t>24</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 w:eastAsia="zh-CN"/>
              </w:rPr>
            </w:pPr>
            <w:r>
              <w:rPr>
                <w:rFonts w:hint="default"/>
                <w:sz w:val="20"/>
                <w:szCs w:val="20"/>
                <w:lang w:val="en"/>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US" w:eastAsia="zh-CN"/>
              </w:rPr>
            </w:pPr>
            <w:r>
              <w:rPr>
                <w:sz w:val="20"/>
                <w:szCs w:val="20"/>
              </w:rPr>
              <w:t> </w:t>
            </w:r>
            <w:r>
              <w:rPr>
                <w:rFonts w:hint="eastAsia"/>
                <w:sz w:val="20"/>
                <w:szCs w:val="20"/>
                <w:lang w:val="en-US" w:eastAsia="zh-CN"/>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restart"/>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三、本年度办理结果</w:t>
            </w:r>
          </w:p>
        </w:tc>
        <w:tc>
          <w:tcPr>
            <w:tcW w:w="4178" w:type="dxa"/>
            <w:gridSpan w:val="2"/>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（一）予以公开</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 w:eastAsia="zh-CN"/>
              </w:rPr>
            </w:pPr>
            <w:r>
              <w:rPr>
                <w:sz w:val="20"/>
                <w:szCs w:val="20"/>
              </w:rPr>
              <w:t> </w:t>
            </w:r>
            <w:r>
              <w:rPr>
                <w:rFonts w:hint="default"/>
                <w:sz w:val="20"/>
                <w:szCs w:val="20"/>
                <w:lang w:val="en" w:eastAsia="zh-CN"/>
              </w:rPr>
              <w:t>1</w:t>
            </w:r>
            <w:r>
              <w:rPr>
                <w:rFonts w:hint="eastAsia"/>
                <w:sz w:val="20"/>
                <w:szCs w:val="20"/>
                <w:lang w:val="en-US" w:eastAsia="zh-CN"/>
              </w:rPr>
              <w:t>7</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 w:eastAsia="zh-CN"/>
              </w:rPr>
            </w:pPr>
            <w:r>
              <w:rPr>
                <w:rFonts w:hint="default"/>
                <w:sz w:val="20"/>
                <w:szCs w:val="20"/>
                <w:lang w:val="en" w:eastAsia="zh-CN"/>
              </w:rPr>
              <w:t>1</w:t>
            </w:r>
            <w:r>
              <w:rPr>
                <w:rFonts w:hint="eastAsia"/>
                <w:sz w:val="20"/>
                <w:szCs w:val="20"/>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4178" w:type="dxa"/>
            <w:gridSpan w:val="2"/>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val="en" w:eastAsia="zh-CN"/>
              </w:rPr>
            </w:pPr>
            <w:r>
              <w:rPr>
                <w:rFonts w:hint="eastAsia"/>
                <w:sz w:val="20"/>
                <w:szCs w:val="20"/>
                <w:lang w:val="en-US"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 w:eastAsia="zh-CN"/>
              </w:rPr>
            </w:pPr>
            <w:r>
              <w:rPr>
                <w:rFonts w:hint="default"/>
                <w:sz w:val="20"/>
                <w:szCs w:val="20"/>
                <w:lang w:val="en"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val="en" w:eastAsia="zh-CN"/>
              </w:rPr>
            </w:pPr>
            <w:r>
              <w:rPr>
                <w:rFonts w:hint="eastAsia"/>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restart"/>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（三）不予公开</w:t>
            </w: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1.属于国家秘密</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sz w:val="20"/>
                <w:szCs w:val="20"/>
                <w:lang w:val="en"/>
              </w:rPr>
            </w:pPr>
            <w:r>
              <w:rPr>
                <w:rFonts w:hint="default"/>
                <w:sz w:val="20"/>
                <w:szCs w:val="20"/>
                <w:lang w:val="en-US"/>
              </w:rPr>
              <w:t>1</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sz w:val="20"/>
                <w:szCs w:val="20"/>
                <w:lang w:val="en"/>
              </w:rPr>
            </w:pPr>
            <w:r>
              <w:rPr>
                <w:rFonts w:hint="default"/>
                <w:sz w:val="20"/>
                <w:szCs w:val="20"/>
                <w:lang w:val="en-US"/>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3.危及“三安全一稳定”</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eastAsia="zh-CN"/>
              </w:rPr>
            </w:pPr>
            <w:r>
              <w:rPr>
                <w:sz w:val="20"/>
                <w:szCs w:val="20"/>
              </w:rPr>
              <w:t> </w:t>
            </w:r>
            <w:r>
              <w:rPr>
                <w:rFonts w:hint="eastAsia"/>
                <w:sz w:val="20"/>
                <w:szCs w:val="20"/>
                <w:lang w:val="en-US" w:eastAsia="zh-CN"/>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eastAsia="zh-CN"/>
              </w:rPr>
            </w:pPr>
            <w:r>
              <w:rPr>
                <w:sz w:val="20"/>
                <w:szCs w:val="20"/>
              </w:rPr>
              <w:t> </w:t>
            </w:r>
            <w:r>
              <w:rPr>
                <w:rFonts w:hint="eastAsia"/>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val="en-US" w:eastAsia="zh-CN"/>
              </w:rPr>
            </w:pPr>
            <w:r>
              <w:rPr>
                <w:sz w:val="20"/>
                <w:szCs w:val="20"/>
              </w:rPr>
              <w:t> </w:t>
            </w:r>
            <w:r>
              <w:rPr>
                <w:rFonts w:hint="eastAsia"/>
                <w:sz w:val="20"/>
                <w:szCs w:val="20"/>
                <w:lang w:val="en-US" w:eastAsia="zh-CN"/>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 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val="en-US" w:eastAsia="zh-CN"/>
              </w:rPr>
            </w:pPr>
            <w:r>
              <w:rPr>
                <w:sz w:val="20"/>
                <w:szCs w:val="20"/>
              </w:rPr>
              <w:t> </w:t>
            </w:r>
            <w:r>
              <w:rPr>
                <w:rFonts w:hint="eastAsia"/>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7.属于行政执法案卷</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8.属于行政查询事项</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restart"/>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（四）无法提供</w:t>
            </w: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US" w:eastAsia="zh-CN"/>
              </w:rPr>
            </w:pPr>
            <w:r>
              <w:rPr>
                <w:rFonts w:hint="eastAsia"/>
                <w:sz w:val="20"/>
                <w:szCs w:val="20"/>
                <w:lang w:val="en-US" w:eastAsia="zh-CN"/>
              </w:rPr>
              <w:t>6</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 w:eastAsia="zh-CN"/>
              </w:rPr>
            </w:pPr>
            <w:r>
              <w:rPr>
                <w:rFonts w:hint="default"/>
                <w:sz w:val="20"/>
                <w:szCs w:val="20"/>
                <w:lang w:val="en" w:eastAsia="zh-CN"/>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US" w:eastAsia="zh-CN"/>
              </w:rPr>
            </w:pPr>
            <w:r>
              <w:rPr>
                <w:rFonts w:hint="eastAsia"/>
                <w:sz w:val="20"/>
                <w:szCs w:val="20"/>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restart"/>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（五）不予处理</w:t>
            </w:r>
          </w:p>
        </w:tc>
        <w:tc>
          <w:tcPr>
            <w:tcW w:w="3257"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2.重复申请</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eastAsia="zh-CN"/>
              </w:rPr>
            </w:pPr>
            <w:r>
              <w:rPr>
                <w:rFonts w:hint="eastAsia"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rFonts w:hint="eastAsia"/>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rFonts w:hint="eastAsia"/>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rFonts w:hint="eastAsia"/>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rFonts w:hint="eastAsia"/>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rFonts w:hint="eastAsia"/>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eastAsia="zh-CN"/>
              </w:rPr>
            </w:pPr>
            <w:r>
              <w:rPr>
                <w:rFonts w:hint="eastAsia"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3.要求提供公开出版物</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4.无正当理由大量反复申请</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single" w:color="auto" w:sz="8"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pPr>
            <w:r>
              <w:rPr>
                <w:rFonts w:hint="eastAsia" w:ascii="宋体" w:hAnsi="宋体" w:eastAsia="宋体" w:cs="宋体"/>
                <w:kern w:val="0"/>
                <w:sz w:val="20"/>
                <w:szCs w:val="20"/>
                <w:lang w:bidi="ar"/>
              </w:rPr>
              <w:t>5.要求行政机关确认或重新出具已获取信息</w:t>
            </w:r>
          </w:p>
        </w:tc>
        <w:tc>
          <w:tcPr>
            <w:tcW w:w="688" w:type="dxa"/>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restart"/>
            <w:tcBorders>
              <w:top w:val="outset" w:color="auto" w:sz="6" w:space="0"/>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（六）其他处理</w:t>
            </w:r>
          </w:p>
        </w:tc>
        <w:tc>
          <w:tcPr>
            <w:tcW w:w="3257"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pPr>
            <w:r>
              <w:rPr>
                <w:rFonts w:hint="eastAsia" w:ascii="宋体" w:hAnsi="宋体" w:eastAsia="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outset" w:color="auto" w:sz="6" w:space="0"/>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921" w:type="dxa"/>
            <w:vMerge w:val="continue"/>
            <w:tcBorders>
              <w:top w:val="outset" w:color="auto" w:sz="6" w:space="0"/>
              <w:left w:val="nil"/>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3257"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3.其他</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sz w:val="20"/>
                <w:szCs w:val="20"/>
              </w:rPr>
            </w:pPr>
            <w:r>
              <w:rPr>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sz w:val="24"/>
              </w:rPr>
            </w:pPr>
          </w:p>
        </w:tc>
        <w:tc>
          <w:tcPr>
            <w:tcW w:w="4178" w:type="dxa"/>
            <w:gridSpan w:val="2"/>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（七）总计</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US" w:eastAsia="zh-CN"/>
              </w:rPr>
            </w:pPr>
            <w:r>
              <w:rPr>
                <w:rFonts w:hint="eastAsia" w:hAnsi="Calibri" w:cs="Calibri"/>
                <w:kern w:val="0"/>
                <w:sz w:val="20"/>
                <w:szCs w:val="20"/>
                <w:lang w:val="en-US" w:eastAsia="zh-CN" w:bidi="ar"/>
              </w:rPr>
              <w:t>24</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val="en-US" w:eastAsia="zh-CN"/>
              </w:rPr>
            </w:pPr>
            <w:r>
              <w:rPr>
                <w:rFonts w:hint="eastAsia"/>
                <w:sz w:val="20"/>
                <w:szCs w:val="20"/>
                <w:lang w:val="en-US"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val="en-US" w:eastAsia="zh-CN"/>
              </w:rPr>
            </w:pPr>
            <w:r>
              <w:rPr>
                <w:rFonts w:hint="eastAsia"/>
                <w:sz w:val="20"/>
                <w:szCs w:val="20"/>
                <w:lang w:val="en-US"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val="en-US" w:eastAsia="zh-CN"/>
              </w:rPr>
            </w:pPr>
            <w:r>
              <w:rPr>
                <w:rFonts w:hint="eastAsia"/>
                <w:sz w:val="20"/>
                <w:szCs w:val="20"/>
                <w:lang w:val="en-US"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eastAsia="仿宋_GB2312"/>
                <w:sz w:val="20"/>
                <w:szCs w:val="20"/>
                <w:lang w:val="en-US" w:eastAsia="zh-CN"/>
              </w:rPr>
            </w:pPr>
            <w:r>
              <w:rPr>
                <w:rFonts w:hint="eastAsia"/>
                <w:sz w:val="20"/>
                <w:szCs w:val="20"/>
                <w:lang w:val="en-US"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 w:eastAsia="zh-CN"/>
              </w:rPr>
            </w:pPr>
            <w:r>
              <w:rPr>
                <w:rFonts w:hint="default"/>
                <w:sz w:val="20"/>
                <w:szCs w:val="20"/>
                <w:lang w:val="en" w:eastAsia="zh-CN"/>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default" w:eastAsia="仿宋_GB2312"/>
                <w:sz w:val="20"/>
                <w:szCs w:val="20"/>
                <w:lang w:val="en-US" w:eastAsia="zh-CN"/>
              </w:rPr>
            </w:pPr>
            <w:r>
              <w:rPr>
                <w:rFonts w:hint="eastAsia" w:hAnsi="Calibri" w:cs="Calibri"/>
                <w:kern w:val="0"/>
                <w:sz w:val="20"/>
                <w:szCs w:val="20"/>
                <w:lang w:val="en-US" w:eastAsia="zh-CN" w:bidi="ar"/>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left"/>
              <w:textAlignment w:val="auto"/>
            </w:pPr>
            <w:r>
              <w:rPr>
                <w:rFonts w:hint="eastAsia" w:ascii="宋体" w:hAnsi="宋体" w:eastAsia="宋体" w:cs="宋体"/>
                <w:kern w:val="0"/>
                <w:sz w:val="20"/>
                <w:szCs w:val="20"/>
                <w:lang w:bidi="ar"/>
              </w:rPr>
              <w:t>四、结转下年度继续办理</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6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688" w:type="dxa"/>
            <w:tcBorders>
              <w:top w:val="nil"/>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r>
    </w:tbl>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ascii="黑体" w:hAnsi="黑体" w:eastAsia="黑体" w:cs="黑体"/>
          <w:bCs/>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color w:val="auto"/>
        </w:rPr>
      </w:pPr>
      <w:r>
        <w:rPr>
          <w:rFonts w:hint="eastAsia" w:ascii="黑体" w:hAnsi="黑体" w:eastAsia="黑体" w:cs="黑体"/>
          <w:bCs/>
          <w:color w:val="auto"/>
          <w:sz w:val="32"/>
          <w:szCs w:val="32"/>
        </w:rPr>
        <w:t>四、政府信息公开行政复议、行政诉讼情况</w:t>
      </w:r>
    </w:p>
    <w:tbl>
      <w:tblPr>
        <w:tblStyle w:val="6"/>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结果维持</w:t>
            </w:r>
          </w:p>
        </w:tc>
        <w:tc>
          <w:tcPr>
            <w:tcW w:w="64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textAlignment w:val="auto"/>
              <w:rPr>
                <w:rFonts w:ascii="宋体" w:hAnsi="Calibri" w:eastAsia="宋体"/>
                <w:sz w:val="24"/>
              </w:rPr>
            </w:pPr>
          </w:p>
        </w:tc>
        <w:tc>
          <w:tcPr>
            <w:tcW w:w="64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textAlignment w:val="auto"/>
              <w:rPr>
                <w:rFonts w:ascii="宋体" w:hAnsi="Calibri" w:eastAsia="宋体"/>
                <w:sz w:val="24"/>
              </w:rPr>
            </w:pPr>
          </w:p>
        </w:tc>
        <w:tc>
          <w:tcPr>
            <w:tcW w:w="6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textAlignment w:val="auto"/>
              <w:rPr>
                <w:rFonts w:ascii="宋体" w:hAnsi="Calibri" w:eastAsia="宋体"/>
                <w:sz w:val="24"/>
              </w:rPr>
            </w:pPr>
          </w:p>
        </w:tc>
        <w:tc>
          <w:tcPr>
            <w:tcW w:w="6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textAlignment w:val="auto"/>
              <w:rPr>
                <w:rFonts w:ascii="宋体" w:hAnsi="Calibri" w:eastAsia="宋体"/>
                <w:sz w:val="24"/>
              </w:rPr>
            </w:pPr>
          </w:p>
        </w:tc>
        <w:tc>
          <w:tcPr>
            <w:tcW w:w="6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textAlignment w:val="auto"/>
              <w:rPr>
                <w:rFonts w:ascii="宋体" w:hAnsi="Calibri" w:eastAsia="宋体"/>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color w:val="000000"/>
                <w:kern w:val="0"/>
                <w:sz w:val="20"/>
                <w:szCs w:val="20"/>
                <w:lang w:bidi="ar"/>
              </w:rPr>
              <w:t>其他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ascii="Calibri" w:hAnsi="Calibri" w:eastAsia="宋体"/>
                <w:sz w:val="21"/>
              </w:rPr>
            </w:pPr>
            <w:r>
              <w:rPr>
                <w:rFonts w:hint="eastAsia" w:ascii="宋体" w:hAnsi="宋体" w:eastAsia="宋体" w:cs="宋体"/>
                <w:color w:val="000000"/>
                <w:kern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1"/>
              </w:rPr>
            </w:pPr>
            <w:r>
              <w:rPr>
                <w:rFonts w:hint="eastAsia" w:ascii="仿宋_GB2312" w:hAnsi="仿宋_GB2312" w:eastAsia="仿宋_GB2312" w:cs="仿宋_GB2312"/>
                <w:sz w:val="21"/>
              </w:rPr>
              <w:t>0</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0</w:t>
            </w:r>
          </w:p>
        </w:tc>
      </w:tr>
    </w:tbl>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Cs/>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五、存在的主要问题及改进情况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Fonts w:hint="eastAsia" w:ascii="仿宋_GB2312" w:hAnsi="楷体" w:eastAsia="仿宋_GB2312" w:cs="楷体"/>
          <w:bCs/>
          <w:color w:val="auto"/>
          <w:sz w:val="32"/>
          <w:szCs w:val="32"/>
          <w:lang w:eastAsia="zh-CN"/>
        </w:rPr>
      </w:pPr>
      <w:r>
        <w:rPr>
          <w:rFonts w:hint="eastAsia" w:ascii="仿宋_GB2312" w:hAnsi="楷体" w:eastAsia="仿宋_GB2312" w:cs="楷体"/>
          <w:bCs/>
          <w:color w:val="auto"/>
          <w:sz w:val="32"/>
          <w:szCs w:val="32"/>
        </w:rPr>
        <w:t>202</w:t>
      </w:r>
      <w:r>
        <w:rPr>
          <w:rFonts w:hint="eastAsia" w:ascii="仿宋_GB2312" w:hAnsi="楷体" w:eastAsia="仿宋_GB2312" w:cs="楷体"/>
          <w:bCs/>
          <w:color w:val="auto"/>
          <w:sz w:val="32"/>
          <w:szCs w:val="32"/>
          <w:lang w:val="en-US" w:eastAsia="zh-CN"/>
        </w:rPr>
        <w:t>5</w:t>
      </w:r>
      <w:r>
        <w:rPr>
          <w:rFonts w:hint="eastAsia" w:ascii="仿宋_GB2312" w:hAnsi="楷体" w:eastAsia="仿宋_GB2312" w:cs="楷体"/>
          <w:bCs/>
          <w:color w:val="auto"/>
          <w:sz w:val="32"/>
          <w:szCs w:val="32"/>
        </w:rPr>
        <w:t>年，</w:t>
      </w:r>
      <w:r>
        <w:rPr>
          <w:rFonts w:hint="eastAsia" w:ascii="仿宋_GB2312" w:hAnsi="楷体" w:eastAsia="仿宋_GB2312" w:cs="楷体"/>
          <w:bCs/>
          <w:color w:val="auto"/>
          <w:sz w:val="32"/>
          <w:szCs w:val="32"/>
          <w:lang w:eastAsia="zh-CN"/>
        </w:rPr>
        <w:t>自治区统计局</w:t>
      </w:r>
      <w:r>
        <w:rPr>
          <w:rFonts w:hint="eastAsia" w:ascii="仿宋_GB2312" w:hAnsi="楷体" w:eastAsia="仿宋_GB2312" w:cs="楷体"/>
          <w:bCs/>
          <w:color w:val="auto"/>
          <w:sz w:val="32"/>
          <w:szCs w:val="32"/>
        </w:rPr>
        <w:t>政府信息公开工作</w:t>
      </w:r>
      <w:r>
        <w:rPr>
          <w:rFonts w:hint="eastAsia" w:ascii="仿宋_GB2312" w:hAnsi="楷体" w:eastAsia="仿宋_GB2312" w:cs="楷体"/>
          <w:bCs/>
          <w:color w:val="auto"/>
          <w:sz w:val="32"/>
          <w:szCs w:val="32"/>
          <w:lang w:eastAsia="zh-CN"/>
        </w:rPr>
        <w:t>扎实推进，政务公开工作规范化、标准化持续提高，</w:t>
      </w:r>
      <w:r>
        <w:rPr>
          <w:rFonts w:hint="eastAsia" w:ascii="仿宋_GB2312" w:hAnsi="楷体" w:eastAsia="仿宋_GB2312" w:cs="楷体"/>
          <w:bCs/>
          <w:color w:val="auto"/>
          <w:sz w:val="32"/>
          <w:szCs w:val="32"/>
        </w:rPr>
        <w:t>但</w:t>
      </w:r>
      <w:r>
        <w:rPr>
          <w:rFonts w:hint="eastAsia" w:ascii="仿宋_GB2312" w:hAnsi="楷体" w:eastAsia="仿宋_GB2312" w:cs="楷体"/>
          <w:bCs/>
          <w:color w:val="auto"/>
          <w:sz w:val="32"/>
          <w:szCs w:val="32"/>
          <w:lang w:eastAsia="zh-CN"/>
        </w:rPr>
        <w:t>仍存在一些问题有待改进，政府信息公开意识有待加强，政策和数据解</w:t>
      </w:r>
      <w:bookmarkStart w:id="0" w:name="_GoBack"/>
      <w:bookmarkEnd w:id="0"/>
      <w:r>
        <w:rPr>
          <w:rFonts w:hint="eastAsia" w:ascii="仿宋_GB2312" w:hAnsi="楷体" w:eastAsia="仿宋_GB2312" w:cs="楷体"/>
          <w:bCs/>
          <w:color w:val="auto"/>
          <w:sz w:val="32"/>
          <w:szCs w:val="32"/>
          <w:lang w:eastAsia="zh-CN"/>
        </w:rPr>
        <w:t>读力度有待加大，政府信息公开工作能力与工作要求仍有一定的差距。下阶段，将重点做好以下几方面：一是持续贯彻落实</w:t>
      </w:r>
      <w:r>
        <w:rPr>
          <w:rFonts w:hint="eastAsia"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rPr>
        <w:t>中华人民共和国政府信息公开条例</w:t>
      </w:r>
      <w:r>
        <w:rPr>
          <w:rFonts w:hint="eastAsia" w:ascii="仿宋_GB2312" w:hAnsi="仿宋_GB2312" w:eastAsia="仿宋_GB2312" w:cs="仿宋_GB2312"/>
          <w:bCs/>
          <w:color w:val="auto"/>
          <w:sz w:val="32"/>
          <w:szCs w:val="32"/>
        </w:rPr>
        <w:t>》</w:t>
      </w:r>
      <w:r>
        <w:rPr>
          <w:rFonts w:hint="eastAsia" w:ascii="仿宋_GB2312" w:hAnsi="楷体" w:eastAsia="仿宋_GB2312" w:cs="楷体"/>
          <w:bCs/>
          <w:color w:val="auto"/>
          <w:sz w:val="32"/>
          <w:szCs w:val="32"/>
          <w:lang w:eastAsia="zh-CN"/>
        </w:rPr>
        <w:t>和相关工作要求，</w:t>
      </w:r>
      <w:r>
        <w:rPr>
          <w:rFonts w:ascii="仿宋_GB2312" w:hAnsi="楷体" w:eastAsia="仿宋_GB2312" w:cs="楷体"/>
          <w:bCs/>
          <w:color w:val="auto"/>
          <w:sz w:val="32"/>
          <w:szCs w:val="32"/>
        </w:rPr>
        <w:t>强化</w:t>
      </w:r>
      <w:r>
        <w:rPr>
          <w:rFonts w:hint="eastAsia" w:ascii="仿宋_GB2312" w:hAnsi="楷体" w:eastAsia="仿宋_GB2312" w:cs="楷体"/>
          <w:bCs/>
          <w:color w:val="auto"/>
          <w:sz w:val="32"/>
          <w:szCs w:val="32"/>
          <w:lang w:eastAsia="zh-CN"/>
        </w:rPr>
        <w:t>对政府信息公开工作重要性的思想认识，坚持“以公开为常态，不公开为例外”原则，加强政府信息管理，提高信息公开工作的质量和水平。二是着力做好统计数据发布解读工作，</w:t>
      </w:r>
      <w:r>
        <w:rPr>
          <w:rFonts w:hint="eastAsia" w:ascii="仿宋_GB2312" w:hAnsi="仿宋_GB2312" w:eastAsia="仿宋_GB2312" w:cs="仿宋_GB2312"/>
          <w:bCs/>
          <w:color w:val="auto"/>
          <w:sz w:val="32"/>
          <w:szCs w:val="32"/>
          <w:lang w:eastAsia="zh-CN"/>
        </w:rPr>
        <w:t>持续丰富数据发布内容，有效利用新闻发布会、媒体采访、署名文章、“中国统计开放日”活动等多种方式和渠道，全面做好数据解读和预期引导。三是持续抓好政府信息公开业务学习，积极参加各级组织的政府信息公开培训活动，积极学习新形势新要求，</w:t>
      </w:r>
      <w:r>
        <w:rPr>
          <w:rFonts w:hint="eastAsia" w:ascii="仿宋_GB2312" w:hAnsi="楷体" w:eastAsia="仿宋_GB2312" w:cs="楷体"/>
          <w:bCs/>
          <w:color w:val="auto"/>
          <w:sz w:val="32"/>
          <w:szCs w:val="32"/>
          <w:lang w:eastAsia="zh-CN"/>
        </w:rPr>
        <w:t>进一步提高政府信息公开工作能力。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rPr>
        <w:t>六、其他需要报告的事项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无其他需要报告的事项。</w:t>
      </w:r>
    </w:p>
    <w:sectPr>
      <w:footerReference r:id="rId3" w:type="default"/>
      <w:pgSz w:w="11906" w:h="16838"/>
      <w:pgMar w:top="2098" w:right="1474" w:bottom="1984" w:left="1474" w:header="851" w:footer="1191"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isplayBackgroundShape w:val="1"/>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B229F"/>
    <w:rsid w:val="00040F62"/>
    <w:rsid w:val="00055C4C"/>
    <w:rsid w:val="000B4C46"/>
    <w:rsid w:val="000D32B8"/>
    <w:rsid w:val="000E61DB"/>
    <w:rsid w:val="00176C29"/>
    <w:rsid w:val="00177B67"/>
    <w:rsid w:val="00191FB0"/>
    <w:rsid w:val="00193FF8"/>
    <w:rsid w:val="001A2746"/>
    <w:rsid w:val="001A469B"/>
    <w:rsid w:val="001D2A18"/>
    <w:rsid w:val="001D5D4D"/>
    <w:rsid w:val="001D6334"/>
    <w:rsid w:val="001E03C7"/>
    <w:rsid w:val="00235054"/>
    <w:rsid w:val="00296718"/>
    <w:rsid w:val="002A180E"/>
    <w:rsid w:val="002B2D23"/>
    <w:rsid w:val="002B5876"/>
    <w:rsid w:val="002E3629"/>
    <w:rsid w:val="002F3EE0"/>
    <w:rsid w:val="00315267"/>
    <w:rsid w:val="00325454"/>
    <w:rsid w:val="00337985"/>
    <w:rsid w:val="00362E98"/>
    <w:rsid w:val="0038212A"/>
    <w:rsid w:val="003A6702"/>
    <w:rsid w:val="003C0A62"/>
    <w:rsid w:val="00405B4F"/>
    <w:rsid w:val="00411BE8"/>
    <w:rsid w:val="0042537E"/>
    <w:rsid w:val="00440CEB"/>
    <w:rsid w:val="004B087A"/>
    <w:rsid w:val="004B5CAD"/>
    <w:rsid w:val="004E6E1F"/>
    <w:rsid w:val="005102F7"/>
    <w:rsid w:val="00514291"/>
    <w:rsid w:val="005234B2"/>
    <w:rsid w:val="005477DA"/>
    <w:rsid w:val="00555F24"/>
    <w:rsid w:val="0056319D"/>
    <w:rsid w:val="005C5E27"/>
    <w:rsid w:val="005E596E"/>
    <w:rsid w:val="00603DEE"/>
    <w:rsid w:val="00624CD6"/>
    <w:rsid w:val="00635970"/>
    <w:rsid w:val="006A3F75"/>
    <w:rsid w:val="006D0D29"/>
    <w:rsid w:val="006D6EB9"/>
    <w:rsid w:val="006E330F"/>
    <w:rsid w:val="00704C17"/>
    <w:rsid w:val="00727153"/>
    <w:rsid w:val="00737FFA"/>
    <w:rsid w:val="00772A3B"/>
    <w:rsid w:val="007744DE"/>
    <w:rsid w:val="007C269C"/>
    <w:rsid w:val="007F7C6F"/>
    <w:rsid w:val="0081361A"/>
    <w:rsid w:val="00813C18"/>
    <w:rsid w:val="008162E4"/>
    <w:rsid w:val="00822F08"/>
    <w:rsid w:val="00824031"/>
    <w:rsid w:val="0084572E"/>
    <w:rsid w:val="00852D55"/>
    <w:rsid w:val="00862466"/>
    <w:rsid w:val="00886925"/>
    <w:rsid w:val="008878B2"/>
    <w:rsid w:val="008F38B0"/>
    <w:rsid w:val="0091319D"/>
    <w:rsid w:val="009210D9"/>
    <w:rsid w:val="00961CE3"/>
    <w:rsid w:val="009655BE"/>
    <w:rsid w:val="0096625B"/>
    <w:rsid w:val="00967173"/>
    <w:rsid w:val="009B0B3B"/>
    <w:rsid w:val="009B3C9C"/>
    <w:rsid w:val="009D5756"/>
    <w:rsid w:val="009E1C66"/>
    <w:rsid w:val="00A00288"/>
    <w:rsid w:val="00A060FE"/>
    <w:rsid w:val="00A26F29"/>
    <w:rsid w:val="00A44619"/>
    <w:rsid w:val="00AA6B61"/>
    <w:rsid w:val="00AD6A9F"/>
    <w:rsid w:val="00AE23FA"/>
    <w:rsid w:val="00AE7932"/>
    <w:rsid w:val="00B37DD9"/>
    <w:rsid w:val="00B414FB"/>
    <w:rsid w:val="00B47E28"/>
    <w:rsid w:val="00B61239"/>
    <w:rsid w:val="00B64B05"/>
    <w:rsid w:val="00B92BA3"/>
    <w:rsid w:val="00B970D6"/>
    <w:rsid w:val="00BC72CA"/>
    <w:rsid w:val="00BF0D9C"/>
    <w:rsid w:val="00C12E64"/>
    <w:rsid w:val="00C44738"/>
    <w:rsid w:val="00CB32C7"/>
    <w:rsid w:val="00CB3A5A"/>
    <w:rsid w:val="00CD4013"/>
    <w:rsid w:val="00CE280E"/>
    <w:rsid w:val="00CF3807"/>
    <w:rsid w:val="00D022ED"/>
    <w:rsid w:val="00D21A1E"/>
    <w:rsid w:val="00D21E8D"/>
    <w:rsid w:val="00D33E77"/>
    <w:rsid w:val="00D42973"/>
    <w:rsid w:val="00D54F8D"/>
    <w:rsid w:val="00D6190B"/>
    <w:rsid w:val="00D802D2"/>
    <w:rsid w:val="00D841E9"/>
    <w:rsid w:val="00DB3DD1"/>
    <w:rsid w:val="00E023EB"/>
    <w:rsid w:val="00E05E09"/>
    <w:rsid w:val="00E06C20"/>
    <w:rsid w:val="00E140B9"/>
    <w:rsid w:val="00E155CE"/>
    <w:rsid w:val="00E606CC"/>
    <w:rsid w:val="00E60B14"/>
    <w:rsid w:val="00E72641"/>
    <w:rsid w:val="00E95701"/>
    <w:rsid w:val="00EA39B7"/>
    <w:rsid w:val="00EF6B31"/>
    <w:rsid w:val="00EF7175"/>
    <w:rsid w:val="00F030FF"/>
    <w:rsid w:val="00F269F6"/>
    <w:rsid w:val="00F57BF7"/>
    <w:rsid w:val="00F66794"/>
    <w:rsid w:val="00F751B7"/>
    <w:rsid w:val="00F854A6"/>
    <w:rsid w:val="00FB4D6B"/>
    <w:rsid w:val="00FF0B41"/>
    <w:rsid w:val="064E310D"/>
    <w:rsid w:val="08B84034"/>
    <w:rsid w:val="0A6376BB"/>
    <w:rsid w:val="0A677CA6"/>
    <w:rsid w:val="0BF6C4AB"/>
    <w:rsid w:val="109A2C73"/>
    <w:rsid w:val="14384A2A"/>
    <w:rsid w:val="155BF908"/>
    <w:rsid w:val="1A96410D"/>
    <w:rsid w:val="1B0D722F"/>
    <w:rsid w:val="1DFF9334"/>
    <w:rsid w:val="278A033F"/>
    <w:rsid w:val="2BD630E7"/>
    <w:rsid w:val="2C2276BA"/>
    <w:rsid w:val="2CB94602"/>
    <w:rsid w:val="31AE2532"/>
    <w:rsid w:val="32416CA4"/>
    <w:rsid w:val="33AC7D9C"/>
    <w:rsid w:val="33DFDE19"/>
    <w:rsid w:val="3CFA9282"/>
    <w:rsid w:val="3D744D99"/>
    <w:rsid w:val="3D9255BC"/>
    <w:rsid w:val="3E5B229F"/>
    <w:rsid w:val="3F7ED9C1"/>
    <w:rsid w:val="40A257E2"/>
    <w:rsid w:val="437A3AA9"/>
    <w:rsid w:val="464F240C"/>
    <w:rsid w:val="473CEFC2"/>
    <w:rsid w:val="4E8FEF3E"/>
    <w:rsid w:val="51494C71"/>
    <w:rsid w:val="54E005F1"/>
    <w:rsid w:val="57FF777F"/>
    <w:rsid w:val="5D985A5C"/>
    <w:rsid w:val="5EDFFF96"/>
    <w:rsid w:val="5F330F8A"/>
    <w:rsid w:val="5FD3AA84"/>
    <w:rsid w:val="5FF7C0FA"/>
    <w:rsid w:val="602177FF"/>
    <w:rsid w:val="6277DCC7"/>
    <w:rsid w:val="684B6B88"/>
    <w:rsid w:val="6D8B491B"/>
    <w:rsid w:val="6E9F1D35"/>
    <w:rsid w:val="6EBFC037"/>
    <w:rsid w:val="6ED9BE28"/>
    <w:rsid w:val="6F1F02F9"/>
    <w:rsid w:val="6FDD47C8"/>
    <w:rsid w:val="6FFEEDB8"/>
    <w:rsid w:val="7240086D"/>
    <w:rsid w:val="72826491"/>
    <w:rsid w:val="7799B01E"/>
    <w:rsid w:val="77B72B4B"/>
    <w:rsid w:val="77FA6539"/>
    <w:rsid w:val="77FFD2BC"/>
    <w:rsid w:val="797F8130"/>
    <w:rsid w:val="79BC4C26"/>
    <w:rsid w:val="7ADD0B6D"/>
    <w:rsid w:val="7AEF6DDA"/>
    <w:rsid w:val="7AF5FD8C"/>
    <w:rsid w:val="7B445998"/>
    <w:rsid w:val="7EFF8DCE"/>
    <w:rsid w:val="7F59FF59"/>
    <w:rsid w:val="7FC76D5C"/>
    <w:rsid w:val="7FCD6A36"/>
    <w:rsid w:val="7FFB1656"/>
    <w:rsid w:val="7FFF5C9E"/>
    <w:rsid w:val="8FB76635"/>
    <w:rsid w:val="8FBF0CB6"/>
    <w:rsid w:val="9FC72788"/>
    <w:rsid w:val="B7FD2703"/>
    <w:rsid w:val="D73F299F"/>
    <w:rsid w:val="D9AB428B"/>
    <w:rsid w:val="DFD7103A"/>
    <w:rsid w:val="E6C7638B"/>
    <w:rsid w:val="EF65827A"/>
    <w:rsid w:val="EFBFD6FD"/>
    <w:rsid w:val="F5CF402C"/>
    <w:rsid w:val="F7EE107B"/>
    <w:rsid w:val="F7F70FE8"/>
    <w:rsid w:val="F92D7D0B"/>
    <w:rsid w:val="FAEDB14E"/>
    <w:rsid w:val="FB5F4AEB"/>
    <w:rsid w:val="FF3F4A3E"/>
    <w:rsid w:val="FF53F2E1"/>
    <w:rsid w:val="FF7F3529"/>
    <w:rsid w:val="FF97313B"/>
    <w:rsid w:val="FFECD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rPr>
  </w:style>
  <w:style w:type="character" w:customStyle="1" w:styleId="8">
    <w:name w:val="批注框文本 Char"/>
    <w:basedOn w:val="7"/>
    <w:link w:val="2"/>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459</Words>
  <Characters>2620</Characters>
  <Lines>21</Lines>
  <Paragraphs>6</Paragraphs>
  <TotalTime>164</TotalTime>
  <ScaleCrop>false</ScaleCrop>
  <LinksUpToDate>false</LinksUpToDate>
  <CharactersWithSpaces>3073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2020-01-07T19:38:00Z</dcterms:created>
  <dc:creator>小公举</dc:creator>
  <cp:lastModifiedBy>kylin</cp:lastModifiedBy>
  <cp:lastPrinted>2025-01-25T02:55:00Z</cp:lastPrinted>
  <dcterms:modified xsi:type="dcterms:W3CDTF">2026-01-28T16:54:22Z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C6521B5F67EA12336AB27C676796F4F1</vt:lpwstr>
  </property>
</Properties>
</file>