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bCs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bCs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_GBK" w:hAnsi="方正小标宋简体" w:eastAsia="方正小标宋_GBK" w:cs="方正小标宋简体"/>
          <w:bCs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auto"/>
          <w:sz w:val="44"/>
          <w:szCs w:val="44"/>
        </w:rPr>
        <w:t>西藏自治区统计局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_GBK" w:hAnsi="方正小标宋简体" w:eastAsia="方正小标宋_GBK" w:cs="方正小标宋简体"/>
          <w:bCs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auto"/>
          <w:sz w:val="44"/>
          <w:szCs w:val="44"/>
        </w:rPr>
        <w:t>202</w:t>
      </w:r>
      <w:r>
        <w:rPr>
          <w:rFonts w:hint="default" w:ascii="方正小标宋_GBK" w:hAnsi="方正小标宋简体" w:eastAsia="方正小标宋_GBK" w:cs="方正小标宋简体"/>
          <w:bCs/>
          <w:color w:val="auto"/>
          <w:sz w:val="44"/>
          <w:szCs w:val="44"/>
          <w:lang w:val="en-US"/>
        </w:rPr>
        <w:t>4</w:t>
      </w:r>
      <w:r>
        <w:rPr>
          <w:rFonts w:hint="eastAsia" w:ascii="方正小标宋_GBK" w:hAnsi="方正小标宋简体" w:eastAsia="方正小标宋_GBK" w:cs="方正小标宋简体"/>
          <w:bCs/>
          <w:color w:val="auto"/>
          <w:sz w:val="44"/>
          <w:szCs w:val="44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根据《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和《中华人民共和国政府信息公开工作年度报告格式》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规定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自治区相关要求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，现公布西藏自治区统计局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政府信息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公开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工作报告。本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报告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由总体情况、主动公开政府信息情况、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收到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和处理政府信息公开申请情况、政府信息公开行政复议及行政诉讼情况、存在的主要问题及改进情况、其他需要报告的事项六部分组成。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自治区统计局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以习近平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新时代中国特色社会主义思想为指导，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深入学习贯彻党的二十大和二十届三中全会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全面贯彻落实党中央、国务院关于政府信息公开工作决策部署和自治区党委、政府工作要求，严格执行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，紧紧围绕统计重点工作和人民群众关注关切，扎实推进政府信息公开工作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（一）不断提升政府信息管理水平。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结合政府信息公开新形势新要求，修订完善局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政府信息公开工作制度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细化政府信息公开流程，按照“谁公开、谁负责”“先审查、后公开”和“一事一审”的原则，加强信息公开属性源头认定和信息公开保密审查，严格执行信息公开多级审批机制，抓实抓细各项重点领域信息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对局门户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的管理和内容的审核把关，确保内容准确、表述妥当、数据精准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（二）持续强化数据发布解读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。</w:t>
      </w:r>
      <w:r>
        <w:rPr>
          <w:rFonts w:ascii="仿宋_GB2312" w:eastAsia="仿宋_GB2312"/>
          <w:sz w:val="32"/>
        </w:rPr>
        <w:t>通过召开新闻发布会、在主流媒体发布统计数据等方式及时通报全区经济运行情况，全面做好数据的发布解读工作，提高舆论引导能力，切实提升统计新闻宣传工作质效。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ascii="仿宋_GB2312" w:eastAsia="仿宋_GB2312"/>
          <w:sz w:val="32"/>
        </w:rPr>
        <w:t>经自治区党委政府同意，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召开了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2023年全年、2024年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分季度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全区经济运行情况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新闻发布会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同时，为充分展示西藏民主改革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65周年以来，西藏经济社会发展取得的伟大成就，于4月份召开了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西藏民主改革65周年经济社会发展取得伟大成就新闻发布会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通过西藏日报等主流媒体全文发布了《2023年西藏自治区国民经济和社会发展统计公报》。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主题为“数览发展 向新而行”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自治区第十五届“中国统计开放日”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活动，进一步加深公众对统计调查的认识和理解，着力提升政府统计公信力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 xml:space="preserve">  （三）推进重点领域信息公开。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及时公布财务信息。在局门户网站主动公开局2023年决算报告和局2024年部门预算。二是及时公布人事变动信息。2024年，在局门户网站公布6条人事任免职信息。三是及时公布新出台行政规范性文件。根据《中华人民共和国行政处罚法》《中华人民共和国统计法》《中华人民共和国统计法实施条例》《西藏自治区规范行政执法裁量权规定》等相关法律法规规章及有关规定，结合本地区统计执法工作实际，联合国家统计局西藏调查总队修订了《西藏自治区统计行政处罚裁量权基准》，在局门户网站进行了公开并做了政策解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eastAsia="zh-CN"/>
        </w:rPr>
        <w:t>（四）依法依规办理依申请公开。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严格执行依申请公开审批流程，依法依规办理政府信息公开申请。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2024年，新收政府信息公开申请数量27件，全部依法依规进行答复。没有发生因政府信息公开引发的行政复议、行政诉讼事件。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不断提升统计服务能力。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聚焦“四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件大事”聚力“四个创建”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深入开展统计调查研究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，积极组织撰写统计分析，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信息报送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向自治区党委、政府上报统计信息1</w:t>
      </w:r>
      <w:r>
        <w:rPr>
          <w:rFonts w:hint="default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篇（条），其中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统计分析</w:t>
      </w:r>
      <w:r>
        <w:rPr>
          <w:rFonts w:hint="default" w:ascii="仿宋_GB2312" w:hAnsi="仿宋_GB2312" w:eastAsia="仿宋_GB2312" w:cs="仿宋_GB2312"/>
          <w:sz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期，短平快信息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组织编印《西藏统计</w:t>
      </w:r>
      <w:r>
        <w:rPr>
          <w:rFonts w:ascii="仿宋_GB2312" w:eastAsia="仿宋_GB2312"/>
          <w:sz w:val="32"/>
        </w:rPr>
        <w:t>调查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月报》《西藏自治区国民经济和社会发展统计公报》《西藏统计年鉴》《西藏领导干部手册》等统计资料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不断优化门户网站服务功能，丰富信息公开内容。通过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局门户网站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，及时发布统计公报、统计分析、统计数据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党委、政府和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社会各界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提供优质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576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576" w:lineRule="exact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576" w:lineRule="exact"/>
        <w:ind w:firstLine="640" w:firstLineChars="200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57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default"/>
                <w:sz w:val="20"/>
                <w:szCs w:val="20"/>
                <w:lang w:val="en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default"/>
                <w:sz w:val="20"/>
                <w:szCs w:val="20"/>
                <w:lang w:val="en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default"/>
                <w:sz w:val="20"/>
                <w:szCs w:val="20"/>
                <w:lang w:val="en" w:eastAsia="zh-CN"/>
              </w:rPr>
              <w:t>1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" w:eastAsia="zh-CN"/>
              </w:rPr>
              <w:t>1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0"/>
                <w:szCs w:val="20"/>
                <w:lang w:val="e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0"/>
                <w:szCs w:val="20"/>
                <w:lang w:val="e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 w:hAnsi="Calibri" w:cs="Calibri"/>
                <w:kern w:val="0"/>
                <w:sz w:val="20"/>
                <w:szCs w:val="20"/>
                <w:lang w:val="en" w:bidi="ar"/>
              </w:rPr>
              <w:t>2</w:t>
            </w:r>
            <w:r>
              <w:rPr>
                <w:rFonts w:hint="default" w:hAnsi="Calibri" w:cs="Calibri"/>
                <w:kern w:val="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" w:eastAsia="zh-CN"/>
              </w:rPr>
            </w:pPr>
            <w:r>
              <w:rPr>
                <w:rFonts w:hint="default" w:hAnsi="Calibri" w:cs="Calibri"/>
                <w:kern w:val="0"/>
                <w:sz w:val="20"/>
                <w:szCs w:val="20"/>
                <w:lang w:val="en" w:bidi="ar"/>
              </w:rPr>
              <w:t>2</w:t>
            </w:r>
            <w:r>
              <w:rPr>
                <w:rFonts w:hint="default" w:hAnsi="Calibri" w:cs="Calibri"/>
                <w:kern w:val="0"/>
                <w:sz w:val="20"/>
                <w:szCs w:val="20"/>
                <w:lang w:val="en-US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576" w:lineRule="exact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576" w:lineRule="exact"/>
        <w:ind w:firstLine="640" w:firstLineChars="200"/>
        <w:jc w:val="both"/>
        <w:rPr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202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年，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  <w:t>自治区统计局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政府信息公开工作虽然取得了一定的成效，但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  <w:t>仍存在一些问题，政府信息公开意识有待加强，政策和数据解读力度有待加大，政府信息公开工作能力与工作要求仍有一定的差距。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楷体" w:eastAsia="仿宋_GB2312" w:cs="楷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val="en-US" w:eastAsia="zh-CN"/>
        </w:rPr>
        <w:t>年，自治区统计局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将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  <w:t>继续坚持以习近平新时代中国特色社会主义思想为指导，持续贯彻落实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  <w:t>和自治区政府信息公开工作相关要求，不断改进和创新方式方法，</w:t>
      </w:r>
      <w:r>
        <w:rPr>
          <w:rFonts w:ascii="仿宋_GB2312" w:hAnsi="楷体" w:eastAsia="仿宋_GB2312" w:cs="楷体"/>
          <w:bCs/>
          <w:color w:val="auto"/>
          <w:sz w:val="32"/>
          <w:szCs w:val="32"/>
        </w:rPr>
        <w:t>强化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  <w:t>对政府信息公开工作重要性的思想认识，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发挥门户网站主阵地作用，持续丰富数据发布内容。有效利用新闻发布会、媒体采访、署名文章、“中国统计开放日”活动等多种方式和渠道，全面做好数据解读和预期引导。</w:t>
      </w:r>
      <w:r>
        <w:rPr>
          <w:rFonts w:ascii="仿宋_GB2312" w:hAnsi="楷体" w:eastAsia="仿宋_GB2312" w:cs="楷体"/>
          <w:bCs/>
          <w:color w:val="auto"/>
          <w:sz w:val="32"/>
          <w:szCs w:val="32"/>
        </w:rPr>
        <w:t>严格政府信息公开审查流程，规范依申请公开答复情况，切实提高统计信息公开服务质量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无其他需要报告的事项。</w:t>
      </w:r>
    </w:p>
    <w:sectPr>
      <w:footerReference r:id="rId3" w:type="default"/>
      <w:pgSz w:w="11906" w:h="16838"/>
      <w:pgMar w:top="2098" w:right="1474" w:bottom="1985" w:left="1474" w:header="851" w:footer="1191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isplayBackgroundShape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0040F62"/>
    <w:rsid w:val="00055C4C"/>
    <w:rsid w:val="000B4C46"/>
    <w:rsid w:val="000D32B8"/>
    <w:rsid w:val="000E61DB"/>
    <w:rsid w:val="00176C29"/>
    <w:rsid w:val="00177B67"/>
    <w:rsid w:val="00191FB0"/>
    <w:rsid w:val="00193FF8"/>
    <w:rsid w:val="001A2746"/>
    <w:rsid w:val="001A469B"/>
    <w:rsid w:val="001D2A18"/>
    <w:rsid w:val="001D5D4D"/>
    <w:rsid w:val="001D6334"/>
    <w:rsid w:val="001E03C7"/>
    <w:rsid w:val="00235054"/>
    <w:rsid w:val="00296718"/>
    <w:rsid w:val="002A180E"/>
    <w:rsid w:val="002B2D23"/>
    <w:rsid w:val="002B5876"/>
    <w:rsid w:val="002E3629"/>
    <w:rsid w:val="002F3EE0"/>
    <w:rsid w:val="00315267"/>
    <w:rsid w:val="00325454"/>
    <w:rsid w:val="00337985"/>
    <w:rsid w:val="00362E98"/>
    <w:rsid w:val="0038212A"/>
    <w:rsid w:val="003A6702"/>
    <w:rsid w:val="003C0A62"/>
    <w:rsid w:val="00405B4F"/>
    <w:rsid w:val="00411BE8"/>
    <w:rsid w:val="0042537E"/>
    <w:rsid w:val="00440CEB"/>
    <w:rsid w:val="004B087A"/>
    <w:rsid w:val="004B5CAD"/>
    <w:rsid w:val="004E6E1F"/>
    <w:rsid w:val="005102F7"/>
    <w:rsid w:val="00514291"/>
    <w:rsid w:val="005234B2"/>
    <w:rsid w:val="005477DA"/>
    <w:rsid w:val="00555F24"/>
    <w:rsid w:val="0056319D"/>
    <w:rsid w:val="005C5E27"/>
    <w:rsid w:val="005E596E"/>
    <w:rsid w:val="00603DEE"/>
    <w:rsid w:val="00624CD6"/>
    <w:rsid w:val="00635970"/>
    <w:rsid w:val="006A3F75"/>
    <w:rsid w:val="006D0D29"/>
    <w:rsid w:val="006D6EB9"/>
    <w:rsid w:val="006E330F"/>
    <w:rsid w:val="00704C17"/>
    <w:rsid w:val="00727153"/>
    <w:rsid w:val="00737FFA"/>
    <w:rsid w:val="00772A3B"/>
    <w:rsid w:val="007744DE"/>
    <w:rsid w:val="007C269C"/>
    <w:rsid w:val="007F7C6F"/>
    <w:rsid w:val="0081361A"/>
    <w:rsid w:val="00813C18"/>
    <w:rsid w:val="008162E4"/>
    <w:rsid w:val="00822F08"/>
    <w:rsid w:val="00824031"/>
    <w:rsid w:val="0084572E"/>
    <w:rsid w:val="00852D55"/>
    <w:rsid w:val="00862466"/>
    <w:rsid w:val="00886925"/>
    <w:rsid w:val="008878B2"/>
    <w:rsid w:val="008F38B0"/>
    <w:rsid w:val="0091319D"/>
    <w:rsid w:val="009210D9"/>
    <w:rsid w:val="00961CE3"/>
    <w:rsid w:val="009655BE"/>
    <w:rsid w:val="0096625B"/>
    <w:rsid w:val="00967173"/>
    <w:rsid w:val="009B0B3B"/>
    <w:rsid w:val="009B3C9C"/>
    <w:rsid w:val="009D5756"/>
    <w:rsid w:val="009E1C66"/>
    <w:rsid w:val="00A00288"/>
    <w:rsid w:val="00A060FE"/>
    <w:rsid w:val="00A26F29"/>
    <w:rsid w:val="00A44619"/>
    <w:rsid w:val="00AA6B61"/>
    <w:rsid w:val="00AD6A9F"/>
    <w:rsid w:val="00AE23FA"/>
    <w:rsid w:val="00AE7932"/>
    <w:rsid w:val="00B37DD9"/>
    <w:rsid w:val="00B414FB"/>
    <w:rsid w:val="00B47E28"/>
    <w:rsid w:val="00B61239"/>
    <w:rsid w:val="00B64B05"/>
    <w:rsid w:val="00B92BA3"/>
    <w:rsid w:val="00B970D6"/>
    <w:rsid w:val="00BC72CA"/>
    <w:rsid w:val="00BF0D9C"/>
    <w:rsid w:val="00C12E64"/>
    <w:rsid w:val="00C44738"/>
    <w:rsid w:val="00CB32C7"/>
    <w:rsid w:val="00CB3A5A"/>
    <w:rsid w:val="00CD4013"/>
    <w:rsid w:val="00CE280E"/>
    <w:rsid w:val="00CF3807"/>
    <w:rsid w:val="00D022ED"/>
    <w:rsid w:val="00D21A1E"/>
    <w:rsid w:val="00D21E8D"/>
    <w:rsid w:val="00D33E77"/>
    <w:rsid w:val="00D42973"/>
    <w:rsid w:val="00D54F8D"/>
    <w:rsid w:val="00D6190B"/>
    <w:rsid w:val="00D802D2"/>
    <w:rsid w:val="00D841E9"/>
    <w:rsid w:val="00DB3DD1"/>
    <w:rsid w:val="00E023EB"/>
    <w:rsid w:val="00E05E09"/>
    <w:rsid w:val="00E06C20"/>
    <w:rsid w:val="00E140B9"/>
    <w:rsid w:val="00E155CE"/>
    <w:rsid w:val="00E606CC"/>
    <w:rsid w:val="00E60B14"/>
    <w:rsid w:val="00E72641"/>
    <w:rsid w:val="00E95701"/>
    <w:rsid w:val="00EA39B7"/>
    <w:rsid w:val="00EF6B31"/>
    <w:rsid w:val="00EF7175"/>
    <w:rsid w:val="00F030FF"/>
    <w:rsid w:val="00F269F6"/>
    <w:rsid w:val="00F57BF7"/>
    <w:rsid w:val="00F66794"/>
    <w:rsid w:val="00F751B7"/>
    <w:rsid w:val="00F854A6"/>
    <w:rsid w:val="00FB4D6B"/>
    <w:rsid w:val="00FF0B41"/>
    <w:rsid w:val="064E310D"/>
    <w:rsid w:val="08B84034"/>
    <w:rsid w:val="0A6376BB"/>
    <w:rsid w:val="0A677CA6"/>
    <w:rsid w:val="0BF6C4AB"/>
    <w:rsid w:val="109A2C73"/>
    <w:rsid w:val="14384A2A"/>
    <w:rsid w:val="155BF908"/>
    <w:rsid w:val="1A96410D"/>
    <w:rsid w:val="1B0D722F"/>
    <w:rsid w:val="1DFF9334"/>
    <w:rsid w:val="278A033F"/>
    <w:rsid w:val="2BD630E7"/>
    <w:rsid w:val="2C2276BA"/>
    <w:rsid w:val="2CB94602"/>
    <w:rsid w:val="31AE2532"/>
    <w:rsid w:val="32416CA4"/>
    <w:rsid w:val="33AC7D9C"/>
    <w:rsid w:val="3CFA9282"/>
    <w:rsid w:val="3D744D99"/>
    <w:rsid w:val="3D9255BC"/>
    <w:rsid w:val="3E5B229F"/>
    <w:rsid w:val="3F7ED9C1"/>
    <w:rsid w:val="40A257E2"/>
    <w:rsid w:val="437A3AA9"/>
    <w:rsid w:val="464F240C"/>
    <w:rsid w:val="473CEFC2"/>
    <w:rsid w:val="4E8FEF3E"/>
    <w:rsid w:val="51494C71"/>
    <w:rsid w:val="54E005F1"/>
    <w:rsid w:val="5D985A5C"/>
    <w:rsid w:val="5EDFFF96"/>
    <w:rsid w:val="5FD3AA84"/>
    <w:rsid w:val="5FF7C0FA"/>
    <w:rsid w:val="602177FF"/>
    <w:rsid w:val="684B6B88"/>
    <w:rsid w:val="6D8B491B"/>
    <w:rsid w:val="6E9F1D35"/>
    <w:rsid w:val="6EBFC037"/>
    <w:rsid w:val="6ED9BE28"/>
    <w:rsid w:val="6F1F02F9"/>
    <w:rsid w:val="6FDD47C8"/>
    <w:rsid w:val="6FFEEDB8"/>
    <w:rsid w:val="7240086D"/>
    <w:rsid w:val="72826491"/>
    <w:rsid w:val="7799B01E"/>
    <w:rsid w:val="77B72B4B"/>
    <w:rsid w:val="77FA6539"/>
    <w:rsid w:val="77FFD2BC"/>
    <w:rsid w:val="797F8130"/>
    <w:rsid w:val="79BC4C26"/>
    <w:rsid w:val="7ADD0B6D"/>
    <w:rsid w:val="7B445998"/>
    <w:rsid w:val="7EFF8DCE"/>
    <w:rsid w:val="7F59FF59"/>
    <w:rsid w:val="7FC76D5C"/>
    <w:rsid w:val="7FCD6A36"/>
    <w:rsid w:val="7FFB1656"/>
    <w:rsid w:val="7FFF5C9E"/>
    <w:rsid w:val="8FB76635"/>
    <w:rsid w:val="9FC72788"/>
    <w:rsid w:val="B7FD2703"/>
    <w:rsid w:val="D73F299F"/>
    <w:rsid w:val="D9AB428B"/>
    <w:rsid w:val="DFD7103A"/>
    <w:rsid w:val="E6C7638B"/>
    <w:rsid w:val="EF65827A"/>
    <w:rsid w:val="EFBFD6FD"/>
    <w:rsid w:val="F5CF402C"/>
    <w:rsid w:val="F7EE107B"/>
    <w:rsid w:val="F7F70FE8"/>
    <w:rsid w:val="F92D7D0B"/>
    <w:rsid w:val="FAEDB14E"/>
    <w:rsid w:val="FB5F4AEB"/>
    <w:rsid w:val="FF7F3529"/>
    <w:rsid w:val="FFECD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459</Words>
  <Characters>2620</Characters>
  <Lines>21</Lines>
  <Paragraphs>6</Paragraphs>
  <TotalTime>83</TotalTime>
  <ScaleCrop>false</ScaleCrop>
  <LinksUpToDate>false</LinksUpToDate>
  <CharactersWithSpaces>3073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2020-01-05T11:38:00Z</dcterms:created>
  <dc:creator>小公举</dc:creator>
  <cp:lastModifiedBy>kylin</cp:lastModifiedBy>
  <cp:lastPrinted>2025-01-22T18:55:00Z</cp:lastPrinted>
  <dcterms:modified xsi:type="dcterms:W3CDTF">2025-01-23T10:36:45Z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C6521B5F67EA12336AB27C676796F4F1</vt:lpwstr>
  </property>
</Properties>
</file>